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8A24A" w:sz="6"/>
        </w:pBdr>
        <w:spacing w:after="240"/>
        <w:jc w:val="center"/>
      </w:pPr>
      <w:r>
        <w:rPr>
          <w:rFonts w:ascii="Calibri" w:cs="Calibri" w:eastAsia="Calibri" w:hAnsi="Calibri"/>
          <w:b/>
          <w:bCs/>
          <w:color w:val="8a5a00"/>
          <w:sz w:val="18"/>
          <w:szCs w:val="18"/>
        </w:rPr>
        <w:t xml:space="preserve">BORRADOR DE TRABAJO — Sujeto a revisión por abogado antes de su primera firma. Plantilla BFX v1 · junio 2026</w:t>
      </w:r>
    </w:p>
    <w:p>
      <w:pPr>
        <w:spacing w:after="60"/>
        <w:jc w:val="center"/>
      </w:pPr>
      <w:r>
        <w:rPr>
          <w:rFonts w:ascii="Calibri" w:cs="Calibri" w:eastAsia="Calibri" w:hAnsi="Calibri"/>
          <w:b/>
          <w:bCs/>
          <w:sz w:val="30"/>
          <w:szCs w:val="30"/>
        </w:rPr>
        <w:t xml:space="preserve">CONTRATO DE CUENTAS EN PARTICIPACIÓN</w:t>
      </w:r>
    </w:p>
    <w:p>
      <w:pPr>
        <w:spacing w:after="280"/>
        <w:jc w:val="center"/>
      </w:pPr>
      <w:r>
        <w:rPr>
          <w:rFonts w:ascii="Calibri" w:cs="Calibri" w:eastAsia="Calibri" w:hAnsi="Calibri"/>
          <w:color w:val="555555"/>
          <w:sz w:val="20"/>
          <w:szCs w:val="20"/>
        </w:rPr>
        <w:t xml:space="preserve">Participación en los flujos de ingresos de proyecto artístico-musical · Artículos 507 a 514 del Código de Comercio</w:t>
      </w:r>
    </w:p>
    <w:p>
      <w:pPr>
        <w:spacing w:after="160" w:line="300"/>
        <w:jc w:val="both"/>
      </w:pPr>
      <w:r>
        <w:rPr>
          <w:rFonts w:ascii="Calibri" w:cs="Calibri" w:eastAsia="Calibri" w:hAnsi="Calibri"/>
          <w:sz w:val="22"/>
          <w:szCs w:val="22"/>
        </w:rPr>
        <w:t xml:space="preserve">Entre los suscritos, de una parte, </w:t>
      </w:r>
      <w:r>
        <w:rPr>
          <w:rFonts w:ascii="Calibri" w:cs="Calibri" w:eastAsia="Calibri" w:hAnsi="Calibri"/>
          <w:b/>
          <w:bCs/>
          <w:sz w:val="22"/>
          <w:szCs w:val="22"/>
        </w:rPr>
        <w:t xml:space="preserve">{{gestor_razon_social}} — BE FUN</w:t>
      </w:r>
      <w:r>
        <w:rPr>
          <w:rFonts w:ascii="Calibri" w:cs="Calibri" w:eastAsia="Calibri" w:hAnsi="Calibri"/>
          <w:sz w:val="22"/>
          <w:szCs w:val="22"/>
        </w:rPr>
        <w:t xml:space="preserve">, sociedad comercial identificada con NIT {{gestor_nit}}, con domicilio en Medellín, Antioquia, representada legalmente por {{gestor_representante}}, quien para los efectos del presente contrato actúa como </w:t>
      </w:r>
      <w:r>
        <w:rPr>
          <w:rFonts w:ascii="Calibri" w:cs="Calibri" w:eastAsia="Calibri" w:hAnsi="Calibri"/>
          <w:b/>
          <w:bCs/>
          <w:sz w:val="22"/>
          <w:szCs w:val="22"/>
        </w:rPr>
        <w:t xml:space="preserve">PARTÍCIPE GESTOR</w:t>
      </w:r>
      <w:r>
        <w:rPr>
          <w:rFonts w:ascii="Calibri" w:cs="Calibri" w:eastAsia="Calibri" w:hAnsi="Calibri"/>
          <w:sz w:val="22"/>
          <w:szCs w:val="22"/>
        </w:rPr>
        <w:t xml:space="preserve"> (en adelante, "EL GESTOR"); y de otra parte, </w:t>
      </w:r>
      <w:r>
        <w:rPr>
          <w:rFonts w:ascii="Calibri" w:cs="Calibri" w:eastAsia="Calibri" w:hAnsi="Calibri"/>
          <w:b/>
          <w:bCs/>
          <w:sz w:val="22"/>
          <w:szCs w:val="22"/>
        </w:rPr>
        <w:t xml:space="preserve">{{nombre_inversionista}}</w:t>
      </w:r>
      <w:r>
        <w:rPr>
          <w:rFonts w:ascii="Calibri" w:cs="Calibri" w:eastAsia="Calibri" w:hAnsi="Calibri"/>
          <w:sz w:val="22"/>
          <w:szCs w:val="22"/>
        </w:rPr>
        <w:t xml:space="preserve">, mayor de edad, identificado(a) con cédula de ciudadanía No. {{cc_inversionista}}, con domicilio en {{ciudad_inversionista}}, quien actúa en nombre propio como </w:t>
      </w:r>
      <w:r>
        <w:rPr>
          <w:rFonts w:ascii="Calibri" w:cs="Calibri" w:eastAsia="Calibri" w:hAnsi="Calibri"/>
          <w:b/>
          <w:bCs/>
          <w:sz w:val="22"/>
          <w:szCs w:val="22"/>
        </w:rPr>
        <w:t xml:space="preserve">PARTÍCIPE INACTIVO</w:t>
      </w:r>
      <w:r>
        <w:rPr>
          <w:rFonts w:ascii="Calibri" w:cs="Calibri" w:eastAsia="Calibri" w:hAnsi="Calibri"/>
          <w:sz w:val="22"/>
          <w:szCs w:val="22"/>
        </w:rPr>
        <w:t xml:space="preserve"> (en adelante, el "PARTÍCIPE INACTIVO"), se celebra el presente contrato de cuentas en participación, regido por los artículos 507 a 514 del Código de Comercio y por las siguientes cláusulas:</w:t>
      </w:r>
    </w:p>
    <w:p>
      <w:pPr>
        <w:spacing w:after="120" w:before="240"/>
      </w:pPr>
      <w:r>
        <w:rPr>
          <w:rFonts w:ascii="Calibri" w:cs="Calibri" w:eastAsia="Calibri" w:hAnsi="Calibri"/>
          <w:b/>
          <w:bCs/>
          <w:sz w:val="23"/>
          <w:szCs w:val="23"/>
        </w:rPr>
        <w:t xml:space="preserve">PRIMERA — OBJETO.</w:t>
      </w:r>
    </w:p>
    <w:p>
      <w:pPr>
        <w:spacing w:after="160" w:line="300"/>
        <w:jc w:val="both"/>
      </w:pPr>
      <w:r>
        <w:rPr>
          <w:rFonts w:ascii="Calibri" w:cs="Calibri" w:eastAsia="Calibri" w:hAnsi="Calibri"/>
          <w:sz w:val="22"/>
          <w:szCs w:val="22"/>
        </w:rPr>
        <w:t xml:space="preserve">El presente contrato tiene por objeto la participación del PARTÍCIPE INACTIVO en los resultados económicos de la operación mercantil determinada consistente en la explotación comercial del proyecto artístico-musical denominado {{proyecto}}, del artista {{nombre_artista}} (en adelante, el "Proyecto"), incluyendo los flujos de ingresos descritos en la cláusula segunda, operación que EL GESTOR ejecutará en su solo nombre y bajo su crédito personal, con cargo de rendir cuenta y dividir las ganancias o pérdidas en la proporción convenida, en los términos de los artículos 507 a 514 del Código de Comercio.</w:t>
      </w:r>
    </w:p>
    <w:p>
      <w:pPr>
        <w:spacing w:after="120" w:before="240"/>
      </w:pPr>
      <w:r>
        <w:rPr>
          <w:rFonts w:ascii="Calibri" w:cs="Calibri" w:eastAsia="Calibri" w:hAnsi="Calibri"/>
          <w:b/>
          <w:bCs/>
          <w:sz w:val="23"/>
          <w:szCs w:val="23"/>
        </w:rPr>
        <w:t xml:space="preserve">SEGUNDA — FLUJOS DE INGRESOS INCLUIDOS.</w:t>
      </w:r>
    </w:p>
    <w:p>
      <w:pPr>
        <w:spacing w:after="160" w:line="300"/>
        <w:jc w:val="both"/>
      </w:pPr>
      <w:r>
        <w:rPr>
          <w:rFonts w:ascii="Calibri" w:cs="Calibri" w:eastAsia="Calibri" w:hAnsi="Calibri"/>
          <w:sz w:val="22"/>
          <w:szCs w:val="22"/>
        </w:rPr>
        <w:t xml:space="preserve">Forman parte del Proyecto, de manera enunciativa, los siguientes flujos de ingresos netos efectivamente recaudados por EL GESTOR: (i) regalías por streaming de audio y video (plataformas digitales, agregadores y distribuidoras); (ii) regalías por ejecución pública y comunicación recaudadas a través de las sociedades de gestión colectiva (incluyendo Sayco y Acinpro) cuando correspondan al Proyecto; (iii) ingresos por sincronización; (iv) ingresos netos por presentaciones en vivo del Proyecto; y (v) ingresos por patrocinios y pauta directamente atribuibles al Proyecto. El presente contrato otorga al PARTÍCIPE INACTIVO un derecho de participación sobre dichos flujos y NO transfiere, en todo ni en parte, derechos patrimoniales de autor, derechos conexos, marcas ni la titularidad de fonogramas u obras, los cuales permanecen en cabeza de sus titulares.</w:t>
      </w:r>
    </w:p>
    <w:p>
      <w:pPr>
        <w:spacing w:after="120" w:before="240"/>
      </w:pPr>
      <w:r>
        <w:rPr>
          <w:rFonts w:ascii="Calibri" w:cs="Calibri" w:eastAsia="Calibri" w:hAnsi="Calibri"/>
          <w:b/>
          <w:bCs/>
          <w:sz w:val="23"/>
          <w:szCs w:val="23"/>
        </w:rPr>
        <w:t xml:space="preserve">TERCERA — DESIGNACIÓN Y GESTIÓN DEL GESTOR.</w:t>
      </w:r>
    </w:p>
    <w:p>
      <w:pPr>
        <w:spacing w:after="160" w:line="300"/>
        <w:jc w:val="both"/>
      </w:pPr>
      <w:r>
        <w:rPr>
          <w:rFonts w:ascii="Calibri" w:cs="Calibri" w:eastAsia="Calibri" w:hAnsi="Calibri"/>
          <w:sz w:val="22"/>
          <w:szCs w:val="22"/>
        </w:rPr>
        <w:t xml:space="preserve">Actúa como partícipe gestor BE FUN ({{gestor_razon_social}}), quien ejecutará la operación en su solo nombre y bajo su crédito personal, será reputado único dueño del negocio en las relaciones externas (artículo 510 del Código de Comercio), llevará contabilidad separada del Proyecto, facturará los ingresos, atenderá las obligaciones tributarias del negocio y practicará las retenciones de ley, certificando a los partícipes lo que corresponda para sus declaraciones.</w:t>
      </w:r>
    </w:p>
    <w:p>
      <w:pPr>
        <w:spacing w:after="120" w:before="240"/>
      </w:pPr>
      <w:r>
        <w:rPr>
          <w:rFonts w:ascii="Calibri" w:cs="Calibri" w:eastAsia="Calibri" w:hAnsi="Calibri"/>
          <w:b/>
          <w:bCs/>
          <w:sz w:val="23"/>
          <w:szCs w:val="23"/>
        </w:rPr>
        <w:t xml:space="preserve">CUARTA — APORTE DEL PARTÍCIPE INACTIVO.</w:t>
      </w:r>
    </w:p>
    <w:p>
      <w:pPr>
        <w:spacing w:after="160" w:line="300"/>
        <w:jc w:val="both"/>
      </w:pPr>
      <w:r>
        <w:rPr>
          <w:rFonts w:ascii="Calibri" w:cs="Calibri" w:eastAsia="Calibri" w:hAnsi="Calibri"/>
          <w:sz w:val="22"/>
          <w:szCs w:val="22"/>
        </w:rPr>
        <w:t xml:space="preserve">El PARTÍCIPE INACTIVO aporta al fondo común del Proyecto la suma de {{monto_letras}} pesos colombianos (COP $ {{monto_numeros}}), que se destinará exclusivamente al desarrollo del Proyecto conforme al presupuesto presentado por EL GESTOR, y será registrada en cuentas separadas dentro de la contabilidad de EL GESTOR.</w:t>
      </w:r>
    </w:p>
    <w:p>
      <w:pPr>
        <w:spacing w:after="120" w:before="240"/>
      </w:pPr>
      <w:r>
        <w:rPr>
          <w:rFonts w:ascii="Calibri" w:cs="Calibri" w:eastAsia="Calibri" w:hAnsi="Calibri"/>
          <w:b/>
          <w:bCs/>
          <w:sz w:val="23"/>
          <w:szCs w:val="23"/>
        </w:rPr>
        <w:t xml:space="preserve">QUINTA — PARTICIPACIÓN EN RESULTADOS.</w:t>
      </w:r>
    </w:p>
    <w:p>
      <w:pPr>
        <w:spacing w:after="160" w:line="300"/>
        <w:jc w:val="both"/>
      </w:pPr>
      <w:r>
        <w:rPr>
          <w:rFonts w:ascii="Calibri" w:cs="Calibri" w:eastAsia="Calibri" w:hAnsi="Calibri"/>
          <w:sz w:val="22"/>
          <w:szCs w:val="22"/>
        </w:rPr>
        <w:t xml:space="preserve">En contraprestación por su aporte, el PARTÍCIPE INACTIVO recibirá el {{porcentaje}}% de los ingresos netos del Proyecto efectivamente recaudados por EL GESTOR durante la vigencia del contrato. Se entiende por ingresos netos los ingresos brutos del Proyecto menos los costos y gastos directos, debidamente soportados, autorizados en el presupuesto. Las pérdidas serán asumidas por el PARTÍCIPE INACTIVO únicamente hasta el valor de su aporte.</w:t>
      </w:r>
    </w:p>
    <w:p>
      <w:pPr>
        <w:spacing w:after="120" w:before="240"/>
      </w:pPr>
      <w:r>
        <w:rPr>
          <w:rFonts w:ascii="Calibri" w:cs="Calibri" w:eastAsia="Calibri" w:hAnsi="Calibri"/>
          <w:b/>
          <w:bCs/>
          <w:sz w:val="23"/>
          <w:szCs w:val="23"/>
        </w:rPr>
        <w:t xml:space="preserve">SEXTA — DISTRIBUCIONES Y CALENDARIO DE PAGOS.</w:t>
      </w:r>
    </w:p>
    <w:p>
      <w:pPr>
        <w:spacing w:after="160" w:line="300"/>
        <w:jc w:val="both"/>
      </w:pPr>
      <w:r>
        <w:rPr>
          <w:rFonts w:ascii="Calibri" w:cs="Calibri" w:eastAsia="Calibri" w:hAnsi="Calibri"/>
          <w:sz w:val="22"/>
          <w:szCs w:val="22"/>
        </w:rPr>
        <w:t xml:space="preserve">EL GESTOR liquidará y pagará las participaciones de manera trimestral, dentro de los treinta (30) días calendario siguientes al corte, mediante transferencia a la cuenta bancaria que el PARTÍCIPE INACTIVO registre. Cada pago estará acompañado del reporte de liquidación correspondiente.</w:t>
      </w:r>
    </w:p>
    <w:p>
      <w:pPr>
        <w:spacing w:after="120" w:before="240"/>
      </w:pPr>
      <w:r>
        <w:rPr>
          <w:rFonts w:ascii="Calibri" w:cs="Calibri" w:eastAsia="Calibri" w:hAnsi="Calibri"/>
          <w:b/>
          <w:bCs/>
          <w:sz w:val="23"/>
          <w:szCs w:val="23"/>
        </w:rPr>
        <w:t xml:space="preserve">SÉPTIMA — DURACIÓN.</w:t>
      </w:r>
    </w:p>
    <w:p>
      <w:pPr>
        <w:spacing w:after="160" w:line="300"/>
        <w:jc w:val="both"/>
      </w:pPr>
      <w:r>
        <w:rPr>
          <w:rFonts w:ascii="Calibri" w:cs="Calibri" w:eastAsia="Calibri" w:hAnsi="Calibri"/>
          <w:sz w:val="22"/>
          <w:szCs w:val="22"/>
        </w:rPr>
        <w:t xml:space="preserve">El presente contrato tendrá una duración de {{duracion}}, contada a partir de la fecha de su firma. Podrá prorrogarse por acuerdo escrito de los partícipes.</w:t>
      </w:r>
    </w:p>
    <w:p>
      <w:pPr>
        <w:spacing w:after="120" w:before="240"/>
      </w:pPr>
      <w:r>
        <w:rPr>
          <w:rFonts w:ascii="Calibri" w:cs="Calibri" w:eastAsia="Calibri" w:hAnsi="Calibri"/>
          <w:b/>
          <w:bCs/>
          <w:sz w:val="23"/>
          <w:szCs w:val="23"/>
        </w:rPr>
        <w:t xml:space="preserve">OCTAVA — RENDICIÓN DE CUENTAS, REPORTES Y AUDITORÍA.</w:t>
      </w:r>
    </w:p>
    <w:p>
      <w:pPr>
        <w:spacing w:after="160" w:line="300"/>
        <w:jc w:val="both"/>
      </w:pPr>
      <w:r>
        <w:rPr>
          <w:rFonts w:ascii="Calibri" w:cs="Calibri" w:eastAsia="Calibri" w:hAnsi="Calibri"/>
          <w:sz w:val="22"/>
          <w:szCs w:val="22"/>
        </w:rPr>
        <w:t xml:space="preserve">En desarrollo del artículo 512 del Código de Comercio, el PARTÍCIPE INACTIVO tendrá derecho a: (i) recibir reportes trimestrales del desempeño del Proyecto, incluyendo métricas de streams y desgloses de ingresos por fuente; (ii) revisar todos los documentos de la participación; y (iii) solicitar, una vez por año y a su costo, una auditoría de las cuentas del Proyecto por contador público independiente. Los datos históricos de desempeño no garantizan resultados futuros.</w:t>
      </w:r>
    </w:p>
    <w:p>
      <w:pPr>
        <w:spacing w:after="120" w:before="240"/>
      </w:pPr>
      <w:r>
        <w:rPr>
          <w:rFonts w:ascii="Calibri" w:cs="Calibri" w:eastAsia="Calibri" w:hAnsi="Calibri"/>
          <w:b/>
          <w:bCs/>
          <w:sz w:val="23"/>
          <w:szCs w:val="23"/>
        </w:rPr>
        <w:t xml:space="preserve">NOVENA — LIMITACIÓN DE RESPONSABILIDAD Y RESERVA DE IDENTIDAD.</w:t>
      </w:r>
    </w:p>
    <w:p>
      <w:pPr>
        <w:spacing w:after="160" w:line="300"/>
        <w:jc w:val="both"/>
      </w:pPr>
      <w:r>
        <w:rPr>
          <w:rFonts w:ascii="Calibri" w:cs="Calibri" w:eastAsia="Calibri" w:hAnsi="Calibri"/>
          <w:sz w:val="22"/>
          <w:szCs w:val="22"/>
        </w:rPr>
        <w:t xml:space="preserve">La responsabilidad del PARTÍCIPE INACTIVO se limita al valor de su aporte (artículo 511 del Código de Comercio). Los terceros solamente tendrán acción contra EL GESTOR y el PARTÍCIPE INACTIVO carecerá de acción contra terceros. EL GESTOR se obliga a no revelar a terceros la identidad del PARTÍCIPE INACTIVO, quien no autoriza dicha revelación. Si el PARTÍCIPE INACTIVO revelare o autorizare revelar su calidad, responderá ante terceros en forma solidaria con EL GESTOR desde el momento en que su nombre sea conocido, salvo pacto en contrario conocido y aceptado por el tercero con anterioridad (jurisprudencia SC3347-2020, Corte Suprema de Justicia).</w:t>
      </w:r>
    </w:p>
    <w:p>
      <w:pPr>
        <w:spacing w:after="120" w:before="240"/>
      </w:pPr>
      <w:r>
        <w:rPr>
          <w:rFonts w:ascii="Calibri" w:cs="Calibri" w:eastAsia="Calibri" w:hAnsi="Calibri"/>
          <w:b/>
          <w:bCs/>
          <w:sz w:val="23"/>
          <w:szCs w:val="23"/>
        </w:rPr>
        <w:t xml:space="preserve">DÉCIMA — OBLIGACIONES Y PROHIBICIONES DEL GESTOR.</w:t>
      </w:r>
    </w:p>
    <w:p>
      <w:pPr>
        <w:spacing w:after="160" w:line="300"/>
        <w:jc w:val="both"/>
      </w:pPr>
      <w:r>
        <w:rPr>
          <w:rFonts w:ascii="Calibri" w:cs="Calibri" w:eastAsia="Calibri" w:hAnsi="Calibri"/>
          <w:sz w:val="22"/>
          <w:szCs w:val="22"/>
        </w:rPr>
        <w:t xml:space="preserve">EL GESTOR se obliga a: dedicar su capacidad y diligencia profesional a la administración del Proyecto; ejecutar el presupuesto aprobado; mantener los aportes en cuentas separadas; y rendir cuentas conforme a la cláusula octava. Le está prohibido: (i) destinar los aportes a fines distintos del Proyecto; (ii) modificar el objeto del Proyecto sin consentimiento escrito de los partícipes; (iii) contraer endeudamiento con cargo al fondo común por encima del diez por ciento (10%) del mismo sin autorización escrita; y (iv) celebrar operaciones consigo mismo o con vinculados sin revelarlas previamente. El incumplimiento grave dará derecho a terminar el contrato y a una cláusula penal equivalente al veinte por ciento (20%) del aporte, sin perjuicio de la indemnización de perjuicios.</w:t>
      </w:r>
    </w:p>
    <w:p>
      <w:pPr>
        <w:spacing w:after="120" w:before="240"/>
      </w:pPr>
      <w:r>
        <w:rPr>
          <w:rFonts w:ascii="Calibri" w:cs="Calibri" w:eastAsia="Calibri" w:hAnsi="Calibri"/>
          <w:b/>
          <w:bCs/>
          <w:sz w:val="23"/>
          <w:szCs w:val="23"/>
        </w:rPr>
        <w:t xml:space="preserve">DÉCIMA PRIMERA — NATURALEZA DEL CONTRATO.</w:t>
      </w:r>
    </w:p>
    <w:p>
      <w:pPr>
        <w:spacing w:after="160" w:line="300"/>
        <w:jc w:val="both"/>
      </w:pPr>
      <w:r>
        <w:rPr>
          <w:rFonts w:ascii="Calibri" w:cs="Calibri" w:eastAsia="Calibri" w:hAnsi="Calibri"/>
          <w:sz w:val="22"/>
          <w:szCs w:val="22"/>
        </w:rPr>
        <w:t xml:space="preserve">La presente participación no constituye sociedad ni persona jurídica, no tiene nombre, patrimonio social ni domicilio, y no requiere escritura pública ni registro mercantil (artículos 508 y 509 del Código de Comercio). Este contrato no constituye captación masiva y habitual de dineros del público, no es una oferta pública de valores ni un producto regulado por la Superintendencia Financiera; se trata de un acuerdo privado entre partes determinadas, dirigido a menos de cien (100) destinatarios determinados. En lo no previsto, se aplicarán las reglas de la sociedad en comandita simple y, en subsidio, las generales del Libro Primero del Código de Comercio (artículo 514).</w:t>
      </w:r>
    </w:p>
    <w:p>
      <w:pPr>
        <w:spacing w:after="120" w:before="240"/>
      </w:pPr>
      <w:r>
        <w:rPr>
          <w:rFonts w:ascii="Calibri" w:cs="Calibri" w:eastAsia="Calibri" w:hAnsi="Calibri"/>
          <w:b/>
          <w:bCs/>
          <w:sz w:val="23"/>
          <w:szCs w:val="23"/>
        </w:rPr>
        <w:t xml:space="preserve">DÉCIMA SEGUNDA — DECLARACIÓN DE RIESGOS.</w:t>
      </w:r>
    </w:p>
    <w:p>
      <w:pPr>
        <w:spacing w:after="160" w:line="300"/>
        <w:jc w:val="both"/>
      </w:pPr>
      <w:r>
        <w:rPr>
          <w:rFonts w:ascii="Calibri" w:cs="Calibri" w:eastAsia="Calibri" w:hAnsi="Calibri"/>
          <w:sz w:val="22"/>
          <w:szCs w:val="22"/>
        </w:rPr>
        <w:t xml:space="preserve">El PARTÍCIPE INACTIVO declara conocer y aceptar que: los ingresos del Proyecto son variables y dependen del consumo en plataformas, la vigencia del repertorio y el desempeño del artista; el rendimiento pasado no garantiza rendimientos futuros; y podría no recuperar la totalidad de su aporte. Declara igualmente que su decisión de inversión es informada, voluntaria y tomada con asesoría propia cuando lo estimó necesario.</w:t>
      </w:r>
    </w:p>
    <w:p>
      <w:pPr>
        <w:spacing w:after="120" w:before="240"/>
      </w:pPr>
      <w:r>
        <w:rPr>
          <w:rFonts w:ascii="Calibri" w:cs="Calibri" w:eastAsia="Calibri" w:hAnsi="Calibri"/>
          <w:b/>
          <w:bCs/>
          <w:sz w:val="23"/>
          <w:szCs w:val="23"/>
        </w:rPr>
        <w:t xml:space="preserve">DÉCIMA TERCERA — DATOS PERSONALES.</w:t>
      </w:r>
    </w:p>
    <w:p>
      <w:pPr>
        <w:spacing w:after="160" w:line="300"/>
        <w:jc w:val="both"/>
      </w:pPr>
      <w:r>
        <w:rPr>
          <w:rFonts w:ascii="Calibri" w:cs="Calibri" w:eastAsia="Calibri" w:hAnsi="Calibri"/>
          <w:sz w:val="22"/>
          <w:szCs w:val="22"/>
        </w:rPr>
        <w:t xml:space="preserve">Los datos personales de los partícipes serán tratados conforme a la Ley 1581 de 2012 y a la Política de Tratamiento de Datos de Be Fun, disponible en https://bfx.befunoficial.com/privacidad.html, exclusivamente para la ejecución del presente contrato y el cumplimiento de obligaciones legales.</w:t>
      </w:r>
    </w:p>
    <w:p>
      <w:pPr>
        <w:spacing w:after="120" w:before="240"/>
      </w:pPr>
      <w:r>
        <w:rPr>
          <w:rFonts w:ascii="Calibri" w:cs="Calibri" w:eastAsia="Calibri" w:hAnsi="Calibri"/>
          <w:b/>
          <w:bCs/>
          <w:sz w:val="23"/>
          <w:szCs w:val="23"/>
        </w:rPr>
        <w:t xml:space="preserve">DÉCIMA CUARTA — FIRMA ELECTRÓNICA.</w:t>
      </w:r>
    </w:p>
    <w:p>
      <w:pPr>
        <w:spacing w:after="160" w:line="300"/>
        <w:jc w:val="both"/>
      </w:pPr>
      <w:r>
        <w:rPr>
          <w:rFonts w:ascii="Calibri" w:cs="Calibri" w:eastAsia="Calibri" w:hAnsi="Calibri"/>
          <w:sz w:val="22"/>
          <w:szCs w:val="22"/>
        </w:rPr>
        <w:t xml:space="preserve">Las partes acuerdan perfeccionar este contrato mediante firma electrónica, plenamente válida y con eficacia probatoria conforme a la Ley 527 de 1999 y al Decreto 2364 de 2012. La identificación, la intencionalidad y la atribución de cada firmante se acreditarán mediante verificación por código de un solo uso (OTP) remitido a su correo electrónico y/o teléfono móvil registrados, junto con la trazabilidad técnica (sello de tiempo, dirección IP y registro de eventos) conservada por la plataforma de firma.</w:t>
      </w:r>
    </w:p>
    <w:p>
      <w:pPr>
        <w:spacing w:after="120" w:before="240"/>
      </w:pPr>
      <w:r>
        <w:rPr>
          <w:rFonts w:ascii="Calibri" w:cs="Calibri" w:eastAsia="Calibri" w:hAnsi="Calibri"/>
          <w:b/>
          <w:bCs/>
          <w:sz w:val="23"/>
          <w:szCs w:val="23"/>
        </w:rPr>
        <w:t xml:space="preserve">DÉCIMA QUINTA — TERMINACIÓN Y LIQUIDACIÓN.</w:t>
      </w:r>
    </w:p>
    <w:p>
      <w:pPr>
        <w:spacing w:after="160" w:line="300"/>
        <w:jc w:val="both"/>
      </w:pPr>
      <w:r>
        <w:rPr>
          <w:rFonts w:ascii="Calibri" w:cs="Calibri" w:eastAsia="Calibri" w:hAnsi="Calibri"/>
          <w:sz w:val="22"/>
          <w:szCs w:val="22"/>
        </w:rPr>
        <w:t xml:space="preserve">Son causales de terminación: el vencimiento del plazo; el mutuo acuerdo; el incumplimiento grave de cualquiera de las partes; la pérdida de más del cincuenta por ciento (50%) del fondo común; y la imposibilidad sobreviniente de desarrollar el Proyecto. Terminado el contrato, EL GESTOR liquidará el negocio dentro de los sesenta (60) días siguientes, pagará las participaciones pendientes y restituirá los remanentes del fondo común a prorrata de los aportes.</w:t>
      </w:r>
    </w:p>
    <w:p>
      <w:pPr>
        <w:spacing w:after="120" w:before="240"/>
      </w:pPr>
      <w:r>
        <w:rPr>
          <w:rFonts w:ascii="Calibri" w:cs="Calibri" w:eastAsia="Calibri" w:hAnsi="Calibri"/>
          <w:b/>
          <w:bCs/>
          <w:sz w:val="23"/>
          <w:szCs w:val="23"/>
        </w:rPr>
        <w:t xml:space="preserve">DÉCIMA SEXTA — SOLUCIÓN DE CONTROVERSIAS.</w:t>
      </w:r>
    </w:p>
    <w:p>
      <w:pPr>
        <w:spacing w:after="160" w:line="300"/>
        <w:jc w:val="both"/>
      </w:pPr>
      <w:r>
        <w:rPr>
          <w:rFonts w:ascii="Calibri" w:cs="Calibri" w:eastAsia="Calibri" w:hAnsi="Calibri"/>
          <w:sz w:val="22"/>
          <w:szCs w:val="22"/>
        </w:rPr>
        <w:t xml:space="preserve">Toda controversia derivada del presente contrato se intentará resolver primero mediante arreglo directo dentro de los treinta (30) días siguientes a su surgimiento; de no lograrse, mediante conciliación ante un centro de conciliación de la Cámara de Comercio de Medellín; y, en su defecto, mediante arbitraje en derecho ante el Centro de Arbitraje y Conciliación de la Cámara de Comercio de Medellín, por un (1) árbitro, en idioma español y con sede en Medellín.</w:t>
      </w:r>
    </w:p>
    <w:p>
      <w:pPr>
        <w:spacing w:after="160" w:line="300"/>
        <w:jc w:val="both"/>
      </w:pPr>
      <w:r>
        <w:rPr>
          <w:rFonts w:ascii="Calibri" w:cs="Calibri" w:eastAsia="Calibri" w:hAnsi="Calibri"/>
          <w:sz w:val="22"/>
          <w:szCs w:val="22"/>
        </w:rPr>
        <w:t xml:space="preserve"> </w:t>
      </w:r>
    </w:p>
    <w:p>
      <w:pPr>
        <w:spacing w:after="160" w:line="300"/>
        <w:jc w:val="both"/>
      </w:pPr>
      <w:r>
        <w:rPr>
          <w:rFonts w:ascii="Calibri" w:cs="Calibri" w:eastAsia="Calibri" w:hAnsi="Calibri"/>
          <w:sz w:val="22"/>
          <w:szCs w:val="22"/>
        </w:rPr>
        <w:t xml:space="preserve">Para constancia, se firma electrónicamente por las partes en la fecha {{fecha}}, conforme a la cláusula décima cuarta.</w:t>
      </w:r>
    </w:p>
    <w:p>
      <w:pPr>
        <w:spacing w:after="160" w:line="300"/>
        <w:jc w:val="both"/>
      </w:pPr>
      <w:r>
        <w:rPr>
          <w:rFonts w:ascii="Calibri" w:cs="Calibri" w:eastAsia="Calibri" w:hAnsi="Calibri"/>
          <w:sz w:val="22"/>
          <w:szCs w:val="22"/>
        </w:rPr>
        <w:t xml:space="preserve"> </w:t>
      </w:r>
    </w:p>
    <w:p>
      <w:pPr>
        <w:spacing w:after="160" w:line="300"/>
        <w:jc w:val="both"/>
      </w:pPr>
      <w:r>
        <w:rPr>
          <w:rFonts w:ascii="Calibri" w:cs="Calibri" w:eastAsia="Calibri" w:hAnsi="Calibri"/>
          <w:b/>
          <w:bCs/>
          <w:sz w:val="22"/>
          <w:szCs w:val="22"/>
        </w:rPr>
        <w:t xml:space="preserve">EL GESTOR</w:t>
      </w:r>
      <w:r>
        <w:rPr>
          <w:rFonts w:ascii="Calibri" w:cs="Calibri" w:eastAsia="Calibri" w:hAnsi="Calibri"/>
          <w:sz w:val="22"/>
          <w:szCs w:val="22"/>
        </w:rPr>
        <w:t xml:space="preserve">                                                            </w:t>
      </w:r>
      <w:r>
        <w:rPr>
          <w:rFonts w:ascii="Calibri" w:cs="Calibri" w:eastAsia="Calibri" w:hAnsi="Calibri"/>
          <w:b/>
          <w:bCs/>
          <w:sz w:val="22"/>
          <w:szCs w:val="22"/>
        </w:rPr>
        <w:t xml:space="preserve">EL PARTÍCIPE INACTIVO</w:t>
      </w:r>
    </w:p>
    <w:p>
      <w:pPr>
        <w:spacing w:after="160" w:line="300"/>
        <w:jc w:val="both"/>
      </w:pPr>
      <w:r>
        <w:rPr>
          <w:rFonts w:ascii="Calibri" w:cs="Calibri" w:eastAsia="Calibri" w:hAnsi="Calibri"/>
          <w:sz w:val="22"/>
          <w:szCs w:val="22"/>
        </w:rPr>
        <w:t xml:space="preserve">{{gestor_representante}} — BE FUN</w:t>
      </w:r>
      <w:r>
        <w:rPr>
          <w:rFonts w:ascii="Calibri" w:cs="Calibri" w:eastAsia="Calibri" w:hAnsi="Calibri"/>
          <w:sz w:val="22"/>
          <w:szCs w:val="22"/>
        </w:rPr>
        <w:t xml:space="preserve">                                  </w:t>
      </w:r>
      <w:r>
        <w:rPr>
          <w:rFonts w:ascii="Calibri" w:cs="Calibri" w:eastAsia="Calibri" w:hAnsi="Calibri"/>
          <w:sz w:val="22"/>
          <w:szCs w:val="22"/>
        </w:rPr>
        <w:t xml:space="preserve">{{nombre_inversionista}}</w:t>
      </w:r>
    </w:p>
    <w:p>
      <w:pPr>
        <w:spacing w:after="160" w:line="300"/>
        <w:jc w:val="both"/>
      </w:pPr>
      <w:r>
        <w:rPr>
          <w:rFonts w:ascii="Calibri" w:cs="Calibri" w:eastAsia="Calibri" w:hAnsi="Calibri"/>
          <w:sz w:val="22"/>
          <w:szCs w:val="22"/>
        </w:rPr>
        <w:t xml:space="preserve">NIT {{gestor_nit}}</w:t>
      </w:r>
      <w:r>
        <w:rPr>
          <w:rFonts w:ascii="Calibri" w:cs="Calibri" w:eastAsia="Calibri" w:hAnsi="Calibri"/>
          <w:sz w:val="22"/>
          <w:szCs w:val="22"/>
        </w:rPr>
        <w:t xml:space="preserve">                                                                </w:t>
      </w:r>
      <w:r>
        <w:rPr>
          <w:rFonts w:ascii="Calibri" w:cs="Calibri" w:eastAsia="Calibri" w:hAnsi="Calibri"/>
          <w:sz w:val="22"/>
          <w:szCs w:val="22"/>
        </w:rPr>
        <w:t xml:space="preserve">C.C. {{cc_inversionista}}</w:t>
      </w:r>
    </w:p>
    <w:p>
      <w:pPr>
        <w:spacing w:before="360"/>
      </w:pPr>
      <w:r>
        <w:rPr>
          <w:rFonts w:ascii="Calibri" w:cs="Calibri" w:eastAsia="Calibri" w:hAnsi="Calibri"/>
          <w:color w:val="888888"/>
          <w:sz w:val="16"/>
          <w:szCs w:val="16"/>
        </w:rPr>
        <w:t xml:space="preserve">Fuentes de la estructura: minutas de cuentas en participación de Cámaras de Comercio (Tunja, Cali) y Notaría 25 de Medellín; arts. 507-514 C.Co.; SC3347-2020 CSJ; práctica internacional de inversión en regalías (JKBX/ANote Music). Documento generado como plantilla con variables {{...}} para el motor de contratos BFX.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2026-06-11T01:04:51.542Z</dcterms:created>
  <dcterms:modified xsi:type="dcterms:W3CDTF">2026-06-11T01:04:51.543Z</dcterms:modified>
</cp:coreProperties>
</file>

<file path=docProps/custom.xml><?xml version="1.0" encoding="utf-8"?>
<Properties xmlns="http://schemas.openxmlformats.org/officeDocument/2006/custom-properties" xmlns:vt="http://schemas.openxmlformats.org/officeDocument/2006/docPropsVTypes"/>
</file>